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rPr>
          <w:i w:val="1"/>
          <w:color w:val="222222"/>
          <w:highlight w:val="white"/>
        </w:rPr>
      </w:pPr>
      <w:bookmarkStart w:colFirst="0" w:colLast="0" w:name="_heading=h.gjdgxs" w:id="0"/>
      <w:bookmarkEnd w:id="0"/>
      <w:r w:rsidDel="00000000" w:rsidR="00000000" w:rsidRPr="00000000">
        <w:rPr>
          <w:rtl w:val="0"/>
        </w:rPr>
        <w:t xml:space="preserve">ASSEMBLY</w:t>
      </w:r>
      <w:r w:rsidDel="00000000" w:rsidR="00000000" w:rsidRPr="00000000">
        <w:rPr>
          <w:highlight w:val="white"/>
          <w:rtl w:val="0"/>
        </w:rPr>
        <w:t xml:space="preserve"> COMMITTEE ON </w:t>
      </w:r>
      <w:r w:rsidDel="00000000" w:rsidR="00000000" w:rsidRPr="00000000">
        <w:rPr>
          <w:rtl w:val="0"/>
        </w:rPr>
        <w:t xml:space="preserve">HEALTH</w:t>
        <w:br w:type="textWrapping"/>
        <w:t xml:space="preserve">Jim Wood</w:t>
      </w:r>
      <w:r w:rsidDel="00000000" w:rsidR="00000000" w:rsidRPr="00000000">
        <w:rPr>
          <w:highlight w:val="white"/>
          <w:rtl w:val="0"/>
        </w:rPr>
        <w:t xml:space="preserve">, Chairman</w:t>
      </w:r>
      <w:r w:rsidDel="00000000" w:rsidR="00000000" w:rsidRPr="00000000">
        <w:rPr>
          <w:color w:val="222222"/>
          <w:rtl w:val="0"/>
        </w:rPr>
        <w:br w:type="textWrapping"/>
      </w:r>
      <w:r w:rsidDel="00000000" w:rsidR="00000000" w:rsidRPr="00000000">
        <w:rPr>
          <w:b w:val="1"/>
          <w:color w:val="222222"/>
          <w:sz w:val="28"/>
          <w:szCs w:val="28"/>
          <w:highlight w:val="white"/>
          <w:u w:val="single"/>
          <w:rtl w:val="0"/>
        </w:rPr>
        <w:t xml:space="preserve">BACKGROUND INFORMATION REQUEST</w:t>
      </w:r>
      <w:r w:rsidDel="00000000" w:rsidR="00000000" w:rsidRPr="00000000">
        <w:rPr>
          <w:b w:val="1"/>
          <w:color w:val="222222"/>
          <w:sz w:val="28"/>
          <w:szCs w:val="28"/>
          <w:u w:val="single"/>
          <w:rtl w:val="0"/>
        </w:rPr>
        <w:br w:type="textWrapp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-9524</wp:posOffset>
            </wp:positionH>
            <wp:positionV relativeFrom="paragraph">
              <wp:posOffset>-294639</wp:posOffset>
            </wp:positionV>
            <wp:extent cx="850900" cy="850900"/>
            <wp:effectExtent b="0" l="0" r="0" t="0"/>
            <wp:wrapNone/>
            <wp:docPr id="1276946642"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850900" cy="850900"/>
                    </a:xfrm>
                    <a:prstGeom prst="rect"/>
                    <a:ln/>
                  </pic:spPr>
                </pic:pic>
              </a:graphicData>
            </a:graphic>
          </wp:anchor>
        </w:drawing>
      </w:r>
    </w:p>
    <w:p w:rsidR="00000000" w:rsidDel="00000000" w:rsidP="00000000" w:rsidRDefault="00000000" w:rsidRPr="00000000" w14:paraId="00000002">
      <w:pPr>
        <w:spacing w:after="0" w:line="240" w:lineRule="auto"/>
        <w:jc w:val="center"/>
        <w:rPr>
          <w:i w:val="1"/>
          <w:color w:val="222222"/>
          <w:sz w:val="24"/>
          <w:szCs w:val="24"/>
          <w:shd w:fill="f2f2f2" w:val="clear"/>
        </w:rPr>
      </w:pPr>
      <w:r w:rsidDel="00000000" w:rsidR="00000000" w:rsidRPr="00000000">
        <w:rPr>
          <w:i w:val="1"/>
          <w:color w:val="222222"/>
          <w:sz w:val="24"/>
          <w:szCs w:val="24"/>
          <w:shd w:fill="f2f2f2" w:val="clear"/>
          <w:rtl w:val="0"/>
        </w:rPr>
        <w:t xml:space="preserve">Please complete and return </w:t>
      </w:r>
      <w:r w:rsidDel="00000000" w:rsidR="00000000" w:rsidRPr="00000000">
        <w:rPr>
          <w:b w:val="1"/>
          <w:i w:val="1"/>
          <w:color w:val="222222"/>
          <w:sz w:val="24"/>
          <w:szCs w:val="24"/>
          <w:shd w:fill="f2f2f2" w:val="clear"/>
          <w:rtl w:val="0"/>
        </w:rPr>
        <w:t xml:space="preserve">one hard copy of this form and all supporting materials</w:t>
      </w:r>
      <w:r w:rsidDel="00000000" w:rsidR="00000000" w:rsidRPr="00000000">
        <w:rPr>
          <w:i w:val="1"/>
          <w:color w:val="222222"/>
          <w:sz w:val="24"/>
          <w:szCs w:val="24"/>
          <w:shd w:fill="f2f2f2" w:val="clear"/>
          <w:rtl w:val="0"/>
        </w:rPr>
        <w:t xml:space="preserve"> (including support/opposition letters) </w:t>
      </w:r>
      <w:r w:rsidDel="00000000" w:rsidR="00000000" w:rsidRPr="00000000">
        <w:rPr>
          <w:b w:val="1"/>
          <w:i w:val="1"/>
          <w:color w:val="222222"/>
          <w:sz w:val="24"/>
          <w:szCs w:val="24"/>
          <w:shd w:fill="f2f2f2" w:val="clear"/>
          <w:rtl w:val="0"/>
        </w:rPr>
        <w:t xml:space="preserve">within 5 working days </w:t>
      </w:r>
      <w:r w:rsidDel="00000000" w:rsidR="00000000" w:rsidRPr="00000000">
        <w:rPr>
          <w:i w:val="1"/>
          <w:color w:val="222222"/>
          <w:sz w:val="24"/>
          <w:szCs w:val="24"/>
          <w:shd w:fill="f2f2f2" w:val="clear"/>
          <w:rtl w:val="0"/>
        </w:rPr>
        <w:t xml:space="preserve">of receipt of this form</w:t>
      </w:r>
      <w:r w:rsidDel="00000000" w:rsidR="00000000" w:rsidRPr="00000000">
        <w:rPr>
          <w:b w:val="1"/>
          <w:i w:val="1"/>
          <w:color w:val="222222"/>
          <w:sz w:val="24"/>
          <w:szCs w:val="24"/>
          <w:shd w:fill="f2f2f2" w:val="clear"/>
          <w:rtl w:val="0"/>
        </w:rPr>
        <w:t xml:space="preserve">.</w:t>
      </w:r>
      <w:r w:rsidDel="00000000" w:rsidR="00000000" w:rsidRPr="00000000">
        <w:rPr>
          <w:rtl w:val="0"/>
        </w:rPr>
      </w:r>
    </w:p>
    <w:p w:rsidR="00000000" w:rsidDel="00000000" w:rsidP="00000000" w:rsidRDefault="00000000" w:rsidRPr="00000000" w14:paraId="00000003">
      <w:pPr>
        <w:spacing w:after="0" w:line="240" w:lineRule="auto"/>
        <w:jc w:val="center"/>
        <w:rPr>
          <w:i w:val="1"/>
          <w:color w:val="222222"/>
          <w:sz w:val="24"/>
          <w:szCs w:val="24"/>
          <w:shd w:fill="f2f2f2" w:val="clear"/>
        </w:rPr>
      </w:pPr>
      <w:r w:rsidDel="00000000" w:rsidR="00000000" w:rsidRPr="00000000">
        <w:rPr>
          <w:i w:val="1"/>
          <w:color w:val="222222"/>
          <w:sz w:val="24"/>
          <w:szCs w:val="24"/>
          <w:shd w:fill="f2f2f2" w:val="clear"/>
          <w:rtl w:val="0"/>
        </w:rPr>
        <w:t xml:space="preserve">A bill cannot be heard if a completed worksheet is not returned.</w:t>
      </w:r>
    </w:p>
    <w:p w:rsidR="00000000" w:rsidDel="00000000" w:rsidP="00000000" w:rsidRDefault="00000000" w:rsidRPr="00000000" w14:paraId="00000004">
      <w:pPr>
        <w:spacing w:after="0" w:line="240" w:lineRule="auto"/>
        <w:jc w:val="center"/>
        <w:rPr>
          <w:b w:val="1"/>
          <w:i w:val="1"/>
          <w:color w:val="222222"/>
          <w:sz w:val="24"/>
          <w:szCs w:val="24"/>
          <w:shd w:fill="f2f2f2" w:val="clea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5775325" cy="1035050"/>
                <wp:effectExtent b="0" l="0" r="0" t="0"/>
                <wp:wrapNone/>
                <wp:docPr id="1276946641" name=""/>
                <a:graphic>
                  <a:graphicData uri="http://schemas.microsoft.com/office/word/2010/wordprocessingShape">
                    <wps:wsp>
                      <wps:cNvSpPr/>
                      <wps:cNvPr id="2" name="Shape 2"/>
                      <wps:spPr>
                        <a:xfrm>
                          <a:off x="2471038" y="3275175"/>
                          <a:ext cx="5749925" cy="1009650"/>
                        </a:xfrm>
                        <a:prstGeom prst="roundRect">
                          <a:avLst>
                            <a:gd fmla="val 16667" name="adj"/>
                          </a:avLst>
                        </a:prstGeom>
                        <a:noFill/>
                        <a:ln cap="flat" cmpd="sng" w="25400">
                          <a:solidFill>
                            <a:srgbClr val="FF0000"/>
                          </a:solidFill>
                          <a:prstDash val="solid"/>
                          <a:round/>
                          <a:headEnd len="sm" w="sm" type="none"/>
                          <a:tailEnd len="sm" w="sm" type="none"/>
                        </a:ln>
                        <a:effectLst>
                          <a:outerShdw blurRad="50800" rotWithShape="0" algn="tr" dir="81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5775325" cy="1035050"/>
                <wp:effectExtent b="0" l="0" r="0" t="0"/>
                <wp:wrapNone/>
                <wp:docPr id="127694664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75325" cy="1035050"/>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center"/>
        <w:rPr>
          <w:b w:val="1"/>
          <w:i w:val="1"/>
          <w:color w:val="ff0000"/>
          <w:sz w:val="28"/>
          <w:szCs w:val="28"/>
          <w:shd w:fill="f2f2f2" w:val="clear"/>
        </w:rPr>
      </w:pPr>
      <w:r w:rsidDel="00000000" w:rsidR="00000000" w:rsidRPr="00000000">
        <w:rPr>
          <w:b w:val="1"/>
          <w:i w:val="1"/>
          <w:color w:val="ff0000"/>
          <w:sz w:val="28"/>
          <w:szCs w:val="28"/>
          <w:shd w:fill="f2f2f2" w:val="clear"/>
          <w:rtl w:val="0"/>
        </w:rPr>
        <w:t xml:space="preserve">NEW POLICY– PLEASE READ!!</w:t>
      </w:r>
    </w:p>
    <w:p w:rsidR="00000000" w:rsidDel="00000000" w:rsidP="00000000" w:rsidRDefault="00000000" w:rsidRPr="00000000" w14:paraId="00000006">
      <w:pPr>
        <w:spacing w:after="0" w:line="240" w:lineRule="auto"/>
        <w:jc w:val="center"/>
        <w:rPr>
          <w:rFonts w:ascii="Garamond" w:cs="Garamond" w:eastAsia="Garamond" w:hAnsi="Garamond"/>
          <w:b w:val="1"/>
          <w:color w:val="a51717"/>
        </w:rPr>
      </w:pPr>
      <w:r w:rsidDel="00000000" w:rsidR="00000000" w:rsidRPr="00000000">
        <w:rPr>
          <w:rFonts w:ascii="Garamond" w:cs="Garamond" w:eastAsia="Garamond" w:hAnsi="Garamond"/>
          <w:b w:val="1"/>
          <w:color w:val="a51717"/>
          <w:rtl w:val="0"/>
        </w:rPr>
        <w:t xml:space="preserve">The Assembly Health Committee has implemented a more efficient way of accepting </w:t>
      </w:r>
    </w:p>
    <w:p w:rsidR="00000000" w:rsidDel="00000000" w:rsidP="00000000" w:rsidRDefault="00000000" w:rsidRPr="00000000" w14:paraId="00000007">
      <w:pPr>
        <w:spacing w:after="0" w:line="240" w:lineRule="auto"/>
        <w:jc w:val="center"/>
        <w:rPr>
          <w:rFonts w:ascii="Garamond" w:cs="Garamond" w:eastAsia="Garamond" w:hAnsi="Garamond"/>
          <w:b w:val="1"/>
          <w:color w:val="a51717"/>
        </w:rPr>
      </w:pPr>
      <w:r w:rsidDel="00000000" w:rsidR="00000000" w:rsidRPr="00000000">
        <w:rPr>
          <w:rFonts w:ascii="Garamond" w:cs="Garamond" w:eastAsia="Garamond" w:hAnsi="Garamond"/>
          <w:b w:val="1"/>
          <w:color w:val="a51717"/>
          <w:rtl w:val="0"/>
        </w:rPr>
        <w:t xml:space="preserve">Position Letters. Please make sure the letters are uploaded through the Advocate Portal:</w:t>
      </w:r>
    </w:p>
    <w:p w:rsidR="00000000" w:rsidDel="00000000" w:rsidP="00000000" w:rsidRDefault="00000000" w:rsidRPr="00000000" w14:paraId="00000008">
      <w:pPr>
        <w:spacing w:after="240" w:line="240" w:lineRule="auto"/>
        <w:jc w:val="center"/>
        <w:rPr>
          <w:rFonts w:ascii="Garamond" w:cs="Garamond" w:eastAsia="Garamond" w:hAnsi="Garamond"/>
          <w:b w:val="1"/>
          <w:color w:val="400080"/>
          <w:sz w:val="28"/>
          <w:szCs w:val="28"/>
        </w:rPr>
      </w:pPr>
      <w:hyperlink r:id="rId9">
        <w:r w:rsidDel="00000000" w:rsidR="00000000" w:rsidRPr="00000000">
          <w:rPr>
            <w:rFonts w:ascii="Garamond" w:cs="Garamond" w:eastAsia="Garamond" w:hAnsi="Garamond"/>
            <w:color w:val="0000ff"/>
            <w:sz w:val="28"/>
            <w:szCs w:val="28"/>
            <w:u w:val="single"/>
            <w:rtl w:val="0"/>
          </w:rPr>
          <w:t xml:space="preserve">https://calegislation.lc.ca.gov/Advocates/</w:t>
        </w:r>
      </w:hyperlink>
      <w:r w:rsidDel="00000000" w:rsidR="00000000" w:rsidRPr="00000000">
        <w:rPr>
          <w:rtl w:val="0"/>
        </w:rPr>
      </w:r>
    </w:p>
    <w:p w:rsidR="00000000" w:rsidDel="00000000" w:rsidP="00000000" w:rsidRDefault="00000000" w:rsidRPr="00000000" w14:paraId="00000009">
      <w:pPr>
        <w:spacing w:after="240" w:line="240" w:lineRule="auto"/>
        <w:jc w:val="center"/>
        <w:rPr>
          <w:rFonts w:ascii="Garamond" w:cs="Garamond" w:eastAsia="Garamond" w:hAnsi="Garamond"/>
          <w:b w:val="1"/>
          <w:color w:val="400080"/>
          <w:sz w:val="20"/>
          <w:szCs w:val="20"/>
        </w:rPr>
      </w:pPr>
      <w:r w:rsidDel="00000000" w:rsidR="00000000" w:rsidRPr="00000000">
        <w:rPr>
          <w:rtl w:val="0"/>
        </w:rPr>
      </w:r>
    </w:p>
    <w:p w:rsidR="00000000" w:rsidDel="00000000" w:rsidP="00000000" w:rsidRDefault="00000000" w:rsidRPr="00000000" w14:paraId="0000000A">
      <w:pPr>
        <w:spacing w:after="0" w:line="240" w:lineRule="auto"/>
        <w:jc w:val="center"/>
        <w:rPr>
          <w:b w:val="1"/>
          <w:color w:val="222222"/>
          <w:sz w:val="24"/>
          <w:szCs w:val="24"/>
          <w:shd w:fill="f2f2f2" w:val="clear"/>
        </w:rPr>
      </w:pPr>
      <w:r w:rsidDel="00000000" w:rsidR="00000000" w:rsidRPr="00000000">
        <w:rPr>
          <w:b w:val="1"/>
          <w:color w:val="222222"/>
          <w:sz w:val="24"/>
          <w:szCs w:val="24"/>
          <w:shd w:fill="f2f2f2" w:val="clear"/>
          <w:rtl w:val="0"/>
        </w:rPr>
        <w:t xml:space="preserve">In addition, please e-mail this background information request form electronically to:</w:t>
      </w:r>
    </w:p>
    <w:p w:rsidR="00000000" w:rsidDel="00000000" w:rsidP="00000000" w:rsidRDefault="00000000" w:rsidRPr="00000000" w14:paraId="0000000B">
      <w:pPr>
        <w:spacing w:after="0" w:line="240" w:lineRule="auto"/>
        <w:jc w:val="center"/>
        <w:rPr>
          <w:b w:val="1"/>
          <w:color w:val="0000ff"/>
          <w:sz w:val="24"/>
          <w:szCs w:val="24"/>
          <w:u w:val="single"/>
          <w:shd w:fill="f2f2f2" w:val="clear"/>
        </w:rPr>
      </w:pPr>
      <w:hyperlink r:id="rId10">
        <w:r w:rsidDel="00000000" w:rsidR="00000000" w:rsidRPr="00000000">
          <w:rPr>
            <w:b w:val="1"/>
            <w:color w:val="0000ff"/>
            <w:sz w:val="24"/>
            <w:szCs w:val="24"/>
            <w:u w:val="single"/>
            <w:shd w:fill="f2f2f2" w:val="clear"/>
            <w:rtl w:val="0"/>
          </w:rPr>
          <w:t xml:space="preserve">Marshall.Kirkland@asm.ca.gov</w:t>
        </w:r>
      </w:hyperlink>
      <w:r w:rsidDel="00000000" w:rsidR="00000000" w:rsidRPr="00000000">
        <w:rPr>
          <w:rtl w:val="0"/>
        </w:rPr>
      </w:r>
    </w:p>
    <w:p w:rsidR="00000000" w:rsidDel="00000000" w:rsidP="00000000" w:rsidRDefault="00000000" w:rsidRPr="00000000" w14:paraId="0000000C">
      <w:pPr>
        <w:spacing w:after="0" w:line="240" w:lineRule="auto"/>
        <w:jc w:val="center"/>
        <w:rPr>
          <w:b w:val="1"/>
          <w:color w:val="222222"/>
          <w:sz w:val="24"/>
          <w:szCs w:val="24"/>
          <w:shd w:fill="f2f2f2" w:val="clear"/>
        </w:rPr>
      </w:pPr>
      <w:r w:rsidDel="00000000" w:rsidR="00000000" w:rsidRPr="00000000">
        <w:rPr>
          <w:b w:val="1"/>
          <w:color w:val="0000ff"/>
          <w:sz w:val="24"/>
          <w:szCs w:val="24"/>
          <w:u w:val="single"/>
          <w:shd w:fill="f2f2f2" w:val="clear"/>
          <w:rtl w:val="0"/>
        </w:rPr>
        <w:t xml:space="preserve">Scott.Bain@asm.ca.gov</w:t>
      </w:r>
      <w:r w:rsidDel="00000000" w:rsidR="00000000" w:rsidRPr="00000000">
        <w:rPr>
          <w:rtl w:val="0"/>
        </w:rPr>
      </w:r>
    </w:p>
    <w:p w:rsidR="00000000" w:rsidDel="00000000" w:rsidP="00000000" w:rsidRDefault="00000000" w:rsidRPr="00000000" w14:paraId="0000000D">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b w:val="1"/>
          <w:color w:val="222222"/>
          <w:sz w:val="24"/>
          <w:szCs w:val="24"/>
          <w:highlight w:val="white"/>
        </w:rPr>
      </w:pPr>
      <w:r w:rsidDel="00000000" w:rsidR="00000000" w:rsidRPr="00000000">
        <w:rPr>
          <w:b w:val="1"/>
          <w:sz w:val="24"/>
          <w:szCs w:val="24"/>
          <w:rtl w:val="0"/>
        </w:rPr>
        <w:t xml:space="preserve"> </w:t>
      </w:r>
      <w:r w:rsidDel="00000000" w:rsidR="00000000" w:rsidRPr="00000000">
        <w:rPr>
          <w:b w:val="1"/>
          <w:color w:val="222222"/>
          <w:sz w:val="24"/>
          <w:szCs w:val="24"/>
          <w:highlight w:val="white"/>
          <w:rtl w:val="0"/>
        </w:rPr>
        <w:t xml:space="preserve">                                                                                                            </w:t>
      </w:r>
    </w:p>
    <w:p w:rsidR="00000000" w:rsidDel="00000000" w:rsidP="00000000" w:rsidRDefault="00000000" w:rsidRPr="00000000" w14:paraId="0000000F">
      <w:pPr>
        <w:rPr>
          <w:color w:val="222222"/>
          <w:sz w:val="24"/>
          <w:szCs w:val="24"/>
          <w:highlight w:val="white"/>
        </w:rPr>
      </w:pPr>
      <w:r w:rsidDel="00000000" w:rsidR="00000000" w:rsidRPr="00000000">
        <w:rPr>
          <w:b w:val="1"/>
          <w:color w:val="222222"/>
          <w:sz w:val="24"/>
          <w:szCs w:val="24"/>
          <w:highlight w:val="white"/>
          <w:rtl w:val="0"/>
        </w:rPr>
        <w:t xml:space="preserve">Measure:</w:t>
      </w:r>
      <w:r w:rsidDel="00000000" w:rsidR="00000000" w:rsidRPr="00000000">
        <w:rPr>
          <w:color w:val="222222"/>
          <w:sz w:val="24"/>
          <w:szCs w:val="24"/>
          <w:highlight w:val="white"/>
          <w:rtl w:val="0"/>
        </w:rPr>
        <w:t xml:space="preserve"> </w:t>
      </w:r>
      <w:r w:rsidDel="00000000" w:rsidR="00000000" w:rsidRPr="00000000">
        <w:rPr>
          <w:rtl w:val="0"/>
        </w:rPr>
        <w:t xml:space="preserve">AB-2258</w:t>
      </w:r>
      <w:r w:rsidDel="00000000" w:rsidR="00000000" w:rsidRPr="00000000">
        <w:rPr>
          <w:color w:val="222222"/>
          <w:sz w:val="24"/>
          <w:szCs w:val="24"/>
          <w:highlight w:val="white"/>
          <w:rtl w:val="0"/>
        </w:rPr>
        <w:tab/>
        <w:tab/>
      </w:r>
    </w:p>
    <w:p w:rsidR="00000000" w:rsidDel="00000000" w:rsidP="00000000" w:rsidRDefault="00000000" w:rsidRPr="00000000" w14:paraId="00000010">
      <w:pPr>
        <w:rPr>
          <w:sz w:val="24"/>
          <w:szCs w:val="24"/>
        </w:rPr>
      </w:pPr>
      <w:r w:rsidDel="00000000" w:rsidR="00000000" w:rsidRPr="00000000">
        <w:rPr>
          <w:b w:val="1"/>
          <w:color w:val="222222"/>
          <w:sz w:val="24"/>
          <w:szCs w:val="24"/>
          <w:highlight w:val="white"/>
          <w:rtl w:val="0"/>
        </w:rPr>
        <w:t xml:space="preserve">Author:</w:t>
      </w:r>
      <w:r w:rsidDel="00000000" w:rsidR="00000000" w:rsidRPr="00000000">
        <w:rPr>
          <w:color w:val="222222"/>
          <w:sz w:val="24"/>
          <w:szCs w:val="24"/>
          <w:highlight w:val="white"/>
          <w:rtl w:val="0"/>
        </w:rPr>
        <w:t xml:space="preserve"> </w:t>
      </w:r>
      <w:r w:rsidDel="00000000" w:rsidR="00000000" w:rsidRPr="00000000">
        <w:rPr>
          <w:rtl w:val="0"/>
        </w:rPr>
        <w:t xml:space="preserve">Reyes</w:t>
      </w:r>
      <w:r w:rsidDel="00000000" w:rsidR="00000000" w:rsidRPr="00000000">
        <w:rPr>
          <w:rtl w:val="0"/>
        </w:rPr>
      </w:r>
    </w:p>
    <w:p w:rsidR="00000000" w:rsidDel="00000000" w:rsidP="00000000" w:rsidRDefault="00000000" w:rsidRPr="00000000" w14:paraId="00000011">
      <w:pPr>
        <w:rPr>
          <w:b w:val="1"/>
          <w:color w:val="222222"/>
          <w:sz w:val="24"/>
          <w:szCs w:val="24"/>
          <w:highlight w:val="white"/>
        </w:rPr>
      </w:pPr>
      <w:r w:rsidDel="00000000" w:rsidR="00000000" w:rsidRPr="00000000">
        <w:rPr>
          <w:b w:val="1"/>
          <w:sz w:val="24"/>
          <w:szCs w:val="24"/>
          <w:rtl w:val="0"/>
        </w:rPr>
        <w:t xml:space="preserve">Subject: </w:t>
      </w:r>
      <w:r w:rsidDel="00000000" w:rsidR="00000000" w:rsidRPr="00000000">
        <w:rPr>
          <w:rtl w:val="0"/>
        </w:rPr>
        <w:t xml:space="preserve">Doula care: Medi-Cal pilot program.</w:t>
      </w:r>
      <w:r w:rsidDel="00000000" w:rsidR="00000000" w:rsidRPr="00000000">
        <w:rPr>
          <w:rtl w:val="0"/>
        </w:rPr>
      </w:r>
    </w:p>
    <w:p w:rsidR="00000000" w:rsidDel="00000000" w:rsidP="00000000" w:rsidRDefault="00000000" w:rsidRPr="00000000" w14:paraId="00000012">
      <w:pPr>
        <w:rPr>
          <w:b w:val="1"/>
          <w:color w:val="222222"/>
          <w:sz w:val="24"/>
          <w:szCs w:val="24"/>
          <w:highlight w:val="white"/>
        </w:rPr>
      </w:pPr>
      <w:r w:rsidDel="00000000" w:rsidR="00000000" w:rsidRPr="00000000">
        <w:rPr>
          <w:b w:val="1"/>
          <w:sz w:val="24"/>
          <w:szCs w:val="24"/>
          <w:rtl w:val="0"/>
        </w:rPr>
        <w:t xml:space="preserve">Staff Contact Number:</w:t>
      </w: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 </w:t>
      </w:r>
    </w:p>
    <w:tbl>
      <w:tblPr>
        <w:tblStyle w:val="Table1"/>
        <w:tblW w:w="9360.0" w:type="dxa"/>
        <w:jc w:val="left"/>
        <w:tblInd w:w="0.0" w:type="dxa"/>
        <w:tblLayout w:type="fixed"/>
        <w:tblLook w:val="0400"/>
      </w:tblPr>
      <w:tblGrid>
        <w:gridCol w:w="9360"/>
        <w:tblGridChange w:id="0">
          <w:tblGrid>
            <w:gridCol w:w="9360"/>
          </w:tblGrid>
        </w:tblGridChange>
      </w:tblGrid>
      <w:tr>
        <w:tc>
          <w:tcPr/>
          <w:p w:rsidR="00000000" w:rsidDel="00000000" w:rsidP="00000000" w:rsidRDefault="00000000" w:rsidRPr="00000000" w14:paraId="00000015">
            <w:pPr>
              <w:rPr/>
            </w:pPr>
            <w:r w:rsidDel="00000000" w:rsidR="00000000" w:rsidRPr="00000000">
              <w:rPr>
                <w:rtl w:val="0"/>
              </w:rPr>
              <w:t xml:space="preserve">1.    Does this bill have a sponsor? Please provide name, phone and email.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c>
      </w:tr>
      <w:tr>
        <w:tc>
          <w:tcPr/>
          <w:p w:rsidR="00000000" w:rsidDel="00000000" w:rsidP="00000000" w:rsidRDefault="00000000" w:rsidRPr="00000000" w14:paraId="00000018">
            <w:pPr>
              <w:rPr/>
            </w:pPr>
            <w:r w:rsidDel="00000000" w:rsidR="00000000" w:rsidRPr="00000000">
              <w:rPr>
                <w:rtl w:val="0"/>
              </w:rPr>
              <w:t xml:space="preserve">2.    Please explain the problem or deficiency in the existing law, and how this bill seeks to remedy that problem.</w:t>
            </w:r>
          </w:p>
          <w:p w:rsidR="00000000" w:rsidDel="00000000" w:rsidP="00000000" w:rsidRDefault="00000000" w:rsidRPr="00000000" w14:paraId="00000019">
            <w:pPr>
              <w:spacing w:after="120" w:befor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While doula care is a proven method of improving outcomes for women having babies, few of the women facing the greatest risk can access doulas because of the out-of-pocket costs for this service. Doulas in California often cost more than $1000 which is prohibitive for many families, especially given how many of California’s families of color live in poverty (24.9% of Black Californians, 22.9% of Latinx Californians and 23% of Native American Californians live below 100% FPL).[1]</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before="240" w:line="276" w:lineRule="auto"/>
              <w:jc w:val="both"/>
              <w:rPr>
                <w:b w:val="1"/>
                <w:color w:val="00263a"/>
                <w:shd w:fill="fbfcfc" w:val="clear"/>
              </w:rPr>
            </w:pPr>
            <w:r w:rsidDel="00000000" w:rsidR="00000000" w:rsidRPr="00000000">
              <w:rPr>
                <w:sz w:val="18"/>
                <w:szCs w:val="18"/>
                <w:rtl w:val="0"/>
              </w:rPr>
              <w:t xml:space="preserve">[1]</w:t>
            </w:r>
            <w:r w:rsidDel="00000000" w:rsidR="00000000" w:rsidRPr="00000000">
              <w:rPr>
                <w:rtl w:val="0"/>
              </w:rPr>
              <w:t xml:space="preserve"> </w:t>
            </w:r>
            <w:r w:rsidDel="00000000" w:rsidR="00000000" w:rsidRPr="00000000">
              <w:rPr>
                <w:b w:val="1"/>
                <w:color w:val="00263a"/>
                <w:shd w:fill="fbfcfc" w:val="clear"/>
                <w:rtl w:val="0"/>
              </w:rPr>
              <w:t xml:space="preserve">Steven Ruggles, Sarah Flood, Ronald Goeken, Josiah Grover, Erin Meyer, Jose Pacas and Matthew Sobek. IPUMS USA: Version 10.0 [dataset]. Minneapolis, MN: IPUMS, 2020. https://doi.org/10.18128/D010.V10.0</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r>
      <w:tr>
        <w:tc>
          <w:tcPr/>
          <w:p w:rsidR="00000000" w:rsidDel="00000000" w:rsidP="00000000" w:rsidRDefault="00000000" w:rsidRPr="00000000" w14:paraId="0000001E">
            <w:pPr>
              <w:rPr/>
            </w:pPr>
            <w:r w:rsidDel="00000000" w:rsidR="00000000" w:rsidRPr="00000000">
              <w:rPr>
                <w:rtl w:val="0"/>
              </w:rPr>
              <w:t xml:space="preserve">3.    Describe how your bill solves the problem described in 2) above.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4.    Is there a budget request associated with this bill?</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r>
      <w:tr>
        <w:tc>
          <w:tcPr/>
          <w:p w:rsidR="00000000" w:rsidDel="00000000" w:rsidP="00000000" w:rsidRDefault="00000000" w:rsidRPr="00000000" w14:paraId="00000023">
            <w:pPr>
              <w:rPr/>
            </w:pPr>
            <w:r w:rsidDel="00000000" w:rsidR="00000000" w:rsidRPr="00000000">
              <w:rPr>
                <w:rtl w:val="0"/>
              </w:rPr>
              <w:t xml:space="preserve">5.    Please cite existing law.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c>
      </w:tr>
      <w:tr>
        <w:tc>
          <w:tcPr/>
          <w:p w:rsidR="00000000" w:rsidDel="00000000" w:rsidP="00000000" w:rsidRDefault="00000000" w:rsidRPr="00000000" w14:paraId="00000026">
            <w:pPr>
              <w:rPr/>
            </w:pPr>
            <w:r w:rsidDel="00000000" w:rsidR="00000000" w:rsidRPr="00000000">
              <w:rPr>
                <w:rtl w:val="0"/>
              </w:rPr>
              <w:t xml:space="preserve">6.    Please present significant facts, research studies, and pertinent background information.</w:t>
            </w:r>
          </w:p>
          <w:p w:rsidR="00000000" w:rsidDel="00000000" w:rsidP="00000000" w:rsidRDefault="00000000" w:rsidRPr="00000000" w14:paraId="00000027">
            <w:pPr>
              <w:spacing w:after="120" w:before="120" w:line="276" w:lineRule="auto"/>
              <w:ind w:left="360" w:firstLine="0"/>
              <w:jc w:val="both"/>
              <w:rPr>
                <w:rFonts w:ascii="Georgia" w:cs="Georgia" w:eastAsia="Georgia" w:hAnsi="Georgia"/>
                <w:sz w:val="24"/>
                <w:szCs w:val="24"/>
                <w:highlight w:val="white"/>
                <w:vertAlign w:val="superscript"/>
              </w:rPr>
            </w:pPr>
            <w:r w:rsidDel="00000000" w:rsidR="00000000" w:rsidRPr="00000000">
              <w:rPr>
                <w:rFonts w:ascii="Georgia" w:cs="Georgia" w:eastAsia="Georgia" w:hAnsi="Georgia"/>
                <w:sz w:val="24"/>
                <w:szCs w:val="24"/>
                <w:rtl w:val="0"/>
              </w:rPr>
              <w:t xml:space="preserve">Community-based doula programs across the United States have shown to improve birth outcomes specifically for low-income women of color.</w:t>
            </w:r>
            <w:r w:rsidDel="00000000" w:rsidR="00000000" w:rsidRPr="00000000">
              <w:rPr>
                <w:rFonts w:ascii="Georgia" w:cs="Georgia" w:eastAsia="Georgia" w:hAnsi="Georgia"/>
                <w:sz w:val="24"/>
                <w:szCs w:val="24"/>
                <w:vertAlign w:val="superscript"/>
                <w:rtl w:val="0"/>
              </w:rPr>
              <w:t xml:space="preserve">1-5</w:t>
            </w:r>
            <w:r w:rsidDel="00000000" w:rsidR="00000000" w:rsidRPr="00000000">
              <w:rPr>
                <w:rFonts w:ascii="Georgia" w:cs="Georgia" w:eastAsia="Georgia" w:hAnsi="Georgia"/>
                <w:sz w:val="24"/>
                <w:szCs w:val="24"/>
                <w:rtl w:val="0"/>
              </w:rPr>
              <w:t xml:space="preserve">  Additionally, research evaluating doula-attended births in all communities has proven this to be a safe, effective, and promising intervention.</w:t>
            </w:r>
            <w:r w:rsidDel="00000000" w:rsidR="00000000" w:rsidRPr="00000000">
              <w:rPr>
                <w:rFonts w:ascii="Georgia" w:cs="Georgia" w:eastAsia="Georgia" w:hAnsi="Georgia"/>
                <w:sz w:val="24"/>
                <w:szCs w:val="24"/>
                <w:vertAlign w:val="superscript"/>
                <w:rtl w:val="0"/>
              </w:rPr>
              <w:t xml:space="preserve">6 </w:t>
            </w:r>
            <w:r w:rsidDel="00000000" w:rsidR="00000000" w:rsidRPr="00000000">
              <w:rPr>
                <w:rFonts w:ascii="Georgia" w:cs="Georgia" w:eastAsia="Georgia" w:hAnsi="Georgia"/>
                <w:sz w:val="24"/>
                <w:szCs w:val="24"/>
                <w:rtl w:val="0"/>
              </w:rPr>
              <w:t xml:space="preserve">The American College of Obstetricians and Gynecologists revised their Care Consensus Statement in 2014 to say “p</w:t>
            </w:r>
            <w:r w:rsidDel="00000000" w:rsidR="00000000" w:rsidRPr="00000000">
              <w:rPr>
                <w:rFonts w:ascii="Georgia" w:cs="Georgia" w:eastAsia="Georgia" w:hAnsi="Georgia"/>
                <w:sz w:val="24"/>
                <w:szCs w:val="24"/>
                <w:highlight w:val="white"/>
                <w:rtl w:val="0"/>
              </w:rPr>
              <w:t xml:space="preserve">ublished data indicate that one of the most effective tools to improve labor and delivery outcomes is the continuous presence of support personnel, such as a doula…given that there are no associated measurable harms, this resource is probably underutilized.”</w:t>
            </w:r>
            <w:r w:rsidDel="00000000" w:rsidR="00000000" w:rsidRPr="00000000">
              <w:rPr>
                <w:rFonts w:ascii="Georgia" w:cs="Georgia" w:eastAsia="Georgia" w:hAnsi="Georgia"/>
                <w:sz w:val="24"/>
                <w:szCs w:val="24"/>
                <w:highlight w:val="white"/>
                <w:vertAlign w:val="superscript"/>
                <w:rtl w:val="0"/>
              </w:rPr>
              <w:t xml:space="preserve">7</w:t>
            </w:r>
          </w:p>
          <w:p w:rsidR="00000000" w:rsidDel="00000000" w:rsidP="00000000" w:rsidRDefault="00000000" w:rsidRPr="00000000" w14:paraId="00000028">
            <w:pPr>
              <w:spacing w:after="120" w:before="120" w:line="276" w:lineRule="auto"/>
              <w:ind w:left="3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key outcomes associated with doula support include:</w:t>
            </w:r>
          </w:p>
          <w:tbl>
            <w:tblPr>
              <w:tblStyle w:val="Table2"/>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4425"/>
              <w:tblGridChange w:id="0">
                <w:tblGrid>
                  <w:gridCol w:w="4590"/>
                  <w:gridCol w:w="4425"/>
                </w:tblGrid>
              </w:tblGridChange>
            </w:tblGrid>
            <w:tr>
              <w:trPr>
                <w:trHeight w:val="330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numPr>
                      <w:ilvl w:val="0"/>
                      <w:numId w:val="2"/>
                    </w:numPr>
                    <w:spacing w:after="0" w:afterAutospacing="0" w:before="120"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Reduced caesarian section rates</w:t>
                  </w:r>
                  <w:r w:rsidDel="00000000" w:rsidR="00000000" w:rsidRPr="00000000">
                    <w:rPr>
                      <w:rFonts w:ascii="Georgia" w:cs="Georgia" w:eastAsia="Georgia" w:hAnsi="Georgia"/>
                      <w:sz w:val="24"/>
                      <w:szCs w:val="24"/>
                      <w:vertAlign w:val="superscript"/>
                      <w:rtl w:val="0"/>
                    </w:rPr>
                    <w:t xml:space="preserve">6,8,9</w:t>
                  </w:r>
                </w:p>
                <w:p w:rsidR="00000000" w:rsidDel="00000000" w:rsidP="00000000" w:rsidRDefault="00000000" w:rsidRPr="00000000" w14:paraId="0000002A">
                  <w:pPr>
                    <w:numPr>
                      <w:ilvl w:val="0"/>
                      <w:numId w:val="2"/>
                    </w:numPr>
                    <w:spacing w:after="0" w:afterAutospacing="0" w:before="0" w:beforeAutospacing="0"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Reduced instrumental vaginal birth rates</w:t>
                  </w:r>
                  <w:r w:rsidDel="00000000" w:rsidR="00000000" w:rsidRPr="00000000">
                    <w:rPr>
                      <w:rFonts w:ascii="Georgia" w:cs="Georgia" w:eastAsia="Georgia" w:hAnsi="Georgia"/>
                      <w:sz w:val="24"/>
                      <w:szCs w:val="24"/>
                      <w:vertAlign w:val="superscript"/>
                      <w:rtl w:val="0"/>
                    </w:rPr>
                    <w:t xml:space="preserve">6</w:t>
                  </w:r>
                </w:p>
                <w:p w:rsidR="00000000" w:rsidDel="00000000" w:rsidP="00000000" w:rsidRDefault="00000000" w:rsidRPr="00000000" w14:paraId="0000002B">
                  <w:pPr>
                    <w:numPr>
                      <w:ilvl w:val="0"/>
                      <w:numId w:val="2"/>
                    </w:numPr>
                    <w:spacing w:after="0" w:afterAutospacing="0" w:before="0" w:beforeAutospacing="0"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Reduced preterm birth rates</w:t>
                  </w:r>
                  <w:r w:rsidDel="00000000" w:rsidR="00000000" w:rsidRPr="00000000">
                    <w:rPr>
                      <w:rFonts w:ascii="Georgia" w:cs="Georgia" w:eastAsia="Georgia" w:hAnsi="Georgia"/>
                      <w:sz w:val="24"/>
                      <w:szCs w:val="24"/>
                      <w:vertAlign w:val="superscript"/>
                      <w:rtl w:val="0"/>
                    </w:rPr>
                    <w:t xml:space="preserve">4,10</w:t>
                  </w:r>
                </w:p>
                <w:p w:rsidR="00000000" w:rsidDel="00000000" w:rsidP="00000000" w:rsidRDefault="00000000" w:rsidRPr="00000000" w14:paraId="0000002C">
                  <w:pPr>
                    <w:numPr>
                      <w:ilvl w:val="0"/>
                      <w:numId w:val="2"/>
                    </w:numPr>
                    <w:spacing w:after="0" w:afterAutospacing="0" w:before="0" w:beforeAutospacing="0"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Reduced rates of low birth weight</w:t>
                  </w:r>
                  <w:r w:rsidDel="00000000" w:rsidR="00000000" w:rsidRPr="00000000">
                    <w:rPr>
                      <w:rFonts w:ascii="Georgia" w:cs="Georgia" w:eastAsia="Georgia" w:hAnsi="Georgia"/>
                      <w:sz w:val="24"/>
                      <w:szCs w:val="24"/>
                      <w:vertAlign w:val="superscript"/>
                      <w:rtl w:val="0"/>
                    </w:rPr>
                    <w:t xml:space="preserve">1,4</w:t>
                  </w:r>
                </w:p>
                <w:p w:rsidR="00000000" w:rsidDel="00000000" w:rsidP="00000000" w:rsidRDefault="00000000" w:rsidRPr="00000000" w14:paraId="0000002D">
                  <w:pPr>
                    <w:numPr>
                      <w:ilvl w:val="0"/>
                      <w:numId w:val="2"/>
                    </w:numPr>
                    <w:spacing w:after="120" w:before="0" w:beforeAutospacing="0" w:line="276" w:lineRule="auto"/>
                    <w:ind w:left="720" w:hanging="360"/>
                    <w:rPr>
                      <w:sz w:val="24"/>
                      <w:szCs w:val="24"/>
                      <w:u w:val="none"/>
                    </w:rPr>
                  </w:pPr>
                  <w:r w:rsidDel="00000000" w:rsidR="00000000" w:rsidRPr="00000000">
                    <w:rPr>
                      <w:sz w:val="24"/>
                      <w:szCs w:val="24"/>
                      <w:rtl w:val="0"/>
                    </w:rPr>
                    <w:t xml:space="preserve">S</w:t>
                  </w:r>
                  <w:r w:rsidDel="00000000" w:rsidR="00000000" w:rsidRPr="00000000">
                    <w:rPr>
                      <w:rFonts w:ascii="Georgia" w:cs="Georgia" w:eastAsia="Georgia" w:hAnsi="Georgia"/>
                      <w:sz w:val="24"/>
                      <w:szCs w:val="24"/>
                      <w:rtl w:val="0"/>
                    </w:rPr>
                    <w:t xml:space="preserve">horter duration of labor</w:t>
                  </w:r>
                  <w:r w:rsidDel="00000000" w:rsidR="00000000" w:rsidRPr="00000000">
                    <w:rPr>
                      <w:rFonts w:ascii="Georgia" w:cs="Georgia" w:eastAsia="Georgia" w:hAnsi="Georgia"/>
                      <w:sz w:val="24"/>
                      <w:szCs w:val="24"/>
                      <w:vertAlign w:val="superscript"/>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numPr>
                      <w:ilvl w:val="0"/>
                      <w:numId w:val="2"/>
                    </w:numPr>
                    <w:spacing w:after="0" w:afterAutospacing="0" w:before="120"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Reduced negative feelings about birth experience</w:t>
                  </w:r>
                  <w:r w:rsidDel="00000000" w:rsidR="00000000" w:rsidRPr="00000000">
                    <w:rPr>
                      <w:rFonts w:ascii="Georgia" w:cs="Georgia" w:eastAsia="Georgia" w:hAnsi="Georgia"/>
                      <w:sz w:val="24"/>
                      <w:szCs w:val="24"/>
                      <w:vertAlign w:val="superscript"/>
                      <w:rtl w:val="0"/>
                    </w:rPr>
                    <w:t xml:space="preserve">6</w:t>
                  </w:r>
                </w:p>
                <w:p w:rsidR="00000000" w:rsidDel="00000000" w:rsidP="00000000" w:rsidRDefault="00000000" w:rsidRPr="00000000" w14:paraId="0000002F">
                  <w:pPr>
                    <w:numPr>
                      <w:ilvl w:val="0"/>
                      <w:numId w:val="2"/>
                    </w:numPr>
                    <w:spacing w:after="0" w:afterAutospacing="0" w:before="0" w:beforeAutospacing="0"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Reduced medical expenditures on birth</w:t>
                  </w:r>
                  <w:r w:rsidDel="00000000" w:rsidR="00000000" w:rsidRPr="00000000">
                    <w:rPr>
                      <w:rFonts w:ascii="Georgia" w:cs="Georgia" w:eastAsia="Georgia" w:hAnsi="Georgia"/>
                      <w:sz w:val="24"/>
                      <w:szCs w:val="24"/>
                      <w:vertAlign w:val="superscript"/>
                      <w:rtl w:val="0"/>
                    </w:rPr>
                    <w:t xml:space="preserve">8,9,11</w:t>
                  </w:r>
                </w:p>
                <w:p w:rsidR="00000000" w:rsidDel="00000000" w:rsidP="00000000" w:rsidRDefault="00000000" w:rsidRPr="00000000" w14:paraId="00000030">
                  <w:pPr>
                    <w:numPr>
                      <w:ilvl w:val="0"/>
                      <w:numId w:val="2"/>
                    </w:numPr>
                    <w:spacing w:after="0" w:afterAutospacing="0" w:before="0" w:beforeAutospacing="0"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Increased initiation of breast feeding</w:t>
                  </w:r>
                  <w:r w:rsidDel="00000000" w:rsidR="00000000" w:rsidRPr="00000000">
                    <w:rPr>
                      <w:rFonts w:ascii="Georgia" w:cs="Georgia" w:eastAsia="Georgia" w:hAnsi="Georgia"/>
                      <w:sz w:val="24"/>
                      <w:szCs w:val="24"/>
                      <w:vertAlign w:val="superscript"/>
                      <w:rtl w:val="0"/>
                    </w:rPr>
                    <w:t xml:space="preserve">4,5</w:t>
                  </w:r>
                  <w:r w:rsidDel="00000000" w:rsidR="00000000" w:rsidRPr="00000000">
                    <w:rPr>
                      <w:rtl w:val="0"/>
                    </w:rPr>
                  </w:r>
                </w:p>
                <w:p w:rsidR="00000000" w:rsidDel="00000000" w:rsidP="00000000" w:rsidRDefault="00000000" w:rsidRPr="00000000" w14:paraId="00000031">
                  <w:pPr>
                    <w:numPr>
                      <w:ilvl w:val="0"/>
                      <w:numId w:val="2"/>
                    </w:numPr>
                    <w:spacing w:after="120" w:before="0" w:beforeAutospacing="0" w:line="276"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Potential savings of $986 per birth</w:t>
                  </w:r>
                  <w:r w:rsidDel="00000000" w:rsidR="00000000" w:rsidRPr="00000000">
                    <w:rPr>
                      <w:rFonts w:ascii="Georgia" w:cs="Georgia" w:eastAsia="Georgia" w:hAnsi="Georgia"/>
                      <w:sz w:val="24"/>
                      <w:szCs w:val="24"/>
                      <w:vertAlign w:val="superscript"/>
                      <w:rtl w:val="0"/>
                    </w:rPr>
                    <w:t xml:space="preserve">9</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32">
                  <w:pPr>
                    <w:spacing w:after="120" w:before="120" w:line="276" w:lineRule="auto"/>
                    <w:ind w:left="720" w:firstLine="0"/>
                    <w:rPr>
                      <w:rFonts w:ascii="Georgia" w:cs="Georgia" w:eastAsia="Georgia" w:hAnsi="Georgia"/>
                      <w:sz w:val="24"/>
                      <w:szCs w:val="24"/>
                      <w:vertAlign w:val="superscript"/>
                    </w:rPr>
                  </w:pPr>
                  <w:r w:rsidDel="00000000" w:rsidR="00000000" w:rsidRPr="00000000">
                    <w:rPr>
                      <w:rtl w:val="0"/>
                    </w:rPr>
                  </w:r>
                </w:p>
              </w:tc>
            </w:tr>
          </w:tbl>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numPr>
                <w:ilvl w:val="0"/>
                <w:numId w:val="1"/>
              </w:numPr>
              <w:spacing w:after="0" w:afterAutospacing="0" w:before="240" w:line="276" w:lineRule="auto"/>
              <w:ind w:left="720" w:hanging="360"/>
              <w:rPr>
                <w:rFonts w:ascii="Georgia" w:cs="Georgia" w:eastAsia="Georgia" w:hAnsi="Georgia"/>
                <w:sz w:val="18"/>
                <w:szCs w:val="18"/>
                <w:u w:val="none"/>
              </w:rPr>
            </w:pPr>
            <w:r w:rsidDel="00000000" w:rsidR="00000000" w:rsidRPr="00000000">
              <w:rPr>
                <w:rFonts w:ascii="Georgia" w:cs="Georgia" w:eastAsia="Georgia" w:hAnsi="Georgia"/>
                <w:sz w:val="18"/>
                <w:szCs w:val="18"/>
                <w:rtl w:val="0"/>
              </w:rPr>
              <w:t xml:space="preserve">Thomas, M. P., Ammann, G., Brazier, E., Noyes, P., &amp; Maybank, A. (2017). Doula Services within a Healthy Start Program: Increasing Access for an Underserved Population. Maternal and child health journal, 21(1), 59-64.</w:t>
            </w:r>
          </w:p>
          <w:p w:rsidR="00000000" w:rsidDel="00000000" w:rsidP="00000000" w:rsidRDefault="00000000" w:rsidRPr="00000000" w14:paraId="00000035">
            <w:pPr>
              <w:numPr>
                <w:ilvl w:val="0"/>
                <w:numId w:val="1"/>
              </w:numPr>
              <w:spacing w:after="0" w:afterAutospacing="0" w:before="0" w:beforeAutospacing="0" w:line="276" w:lineRule="auto"/>
              <w:ind w:left="720" w:hanging="360"/>
              <w:rPr>
                <w:rFonts w:ascii="Georgia" w:cs="Georgia" w:eastAsia="Georgia" w:hAnsi="Georgia"/>
                <w:sz w:val="18"/>
                <w:szCs w:val="18"/>
                <w:u w:val="none"/>
              </w:rPr>
            </w:pPr>
            <w:r w:rsidDel="00000000" w:rsidR="00000000" w:rsidRPr="00000000">
              <w:rPr>
                <w:rFonts w:ascii="Georgia" w:cs="Georgia" w:eastAsia="Georgia" w:hAnsi="Georgia"/>
                <w:sz w:val="18"/>
                <w:szCs w:val="18"/>
                <w:rtl w:val="0"/>
              </w:rPr>
              <w:t xml:space="preserve">Mottl-Santiago, J., Walker, C., Ewan, J., Vragovic, O., Winder, S., &amp; Stubblefield, P. (2008). A hospital-based doula program and childbirth outcomes in an urban, multicultural setting. Maternal and child health journal, 12(3), 372-377.</w:t>
            </w:r>
          </w:p>
          <w:p w:rsidR="00000000" w:rsidDel="00000000" w:rsidP="00000000" w:rsidRDefault="00000000" w:rsidRPr="00000000" w14:paraId="00000036">
            <w:pPr>
              <w:numPr>
                <w:ilvl w:val="0"/>
                <w:numId w:val="1"/>
              </w:numPr>
              <w:spacing w:after="0" w:afterAutospacing="0" w:before="0" w:beforeAutospacing="0" w:line="276" w:lineRule="auto"/>
              <w:ind w:left="720" w:hanging="360"/>
              <w:rPr>
                <w:rFonts w:ascii="Georgia" w:cs="Georgia" w:eastAsia="Georgia" w:hAnsi="Georgia"/>
                <w:sz w:val="18"/>
                <w:szCs w:val="18"/>
                <w:u w:val="none"/>
              </w:rPr>
            </w:pPr>
            <w:r w:rsidDel="00000000" w:rsidR="00000000" w:rsidRPr="00000000">
              <w:rPr>
                <w:rFonts w:ascii="Georgia" w:cs="Georgia" w:eastAsia="Georgia" w:hAnsi="Georgia"/>
                <w:sz w:val="18"/>
                <w:szCs w:val="18"/>
                <w:rtl w:val="0"/>
              </w:rPr>
              <w:t xml:space="preserve">Oregon House Bill 3311: Requires Oregon Health Authority to explore ways to use doulas to improve birth outcomes for women who face disproportionately greater risk of poor birth outcomes and to report to legislative committees in February 2012. Official bill available at: http://gov.oregonlive.com/bill/2011/HB3311/. Formal assessment report of bill available at:</w:t>
            </w:r>
            <w:hyperlink r:id="rId11">
              <w:r w:rsidDel="00000000" w:rsidR="00000000" w:rsidRPr="00000000">
                <w:rPr>
                  <w:rFonts w:ascii="Georgia" w:cs="Georgia" w:eastAsia="Georgia" w:hAnsi="Georgia"/>
                  <w:sz w:val="18"/>
                  <w:szCs w:val="18"/>
                  <w:rtl w:val="0"/>
                </w:rPr>
                <w:t xml:space="preserve"> </w:t>
              </w:r>
            </w:hyperlink>
            <w:hyperlink r:id="rId12">
              <w:r w:rsidDel="00000000" w:rsidR="00000000" w:rsidRPr="00000000">
                <w:rPr>
                  <w:rFonts w:ascii="Georgia" w:cs="Georgia" w:eastAsia="Georgia" w:hAnsi="Georgia"/>
                  <w:color w:val="1155cc"/>
                  <w:sz w:val="18"/>
                  <w:szCs w:val="18"/>
                  <w:u w:val="single"/>
                  <w:rtl w:val="0"/>
                </w:rPr>
                <w:t xml:space="preserve">http://www.oregon.gov/oha/legactivity/2012/hb3311report-doulas.pdf</w:t>
              </w:r>
            </w:hyperlink>
            <w:r w:rsidDel="00000000" w:rsidR="00000000" w:rsidRPr="00000000">
              <w:rPr>
                <w:rFonts w:ascii="Georgia" w:cs="Georgia" w:eastAsia="Georgia" w:hAnsi="Georgia"/>
                <w:color w:val="1155cc"/>
                <w:sz w:val="18"/>
                <w:szCs w:val="18"/>
                <w:u w:val="single"/>
                <w:rtl w:val="0"/>
              </w:rPr>
              <w:t xml:space="preserve"> </w:t>
            </w:r>
            <w:r w:rsidDel="00000000" w:rsidR="00000000" w:rsidRPr="00000000">
              <w:rPr>
                <w:rtl w:val="0"/>
              </w:rPr>
            </w:r>
          </w:p>
          <w:p w:rsidR="00000000" w:rsidDel="00000000" w:rsidP="00000000" w:rsidRDefault="00000000" w:rsidRPr="00000000" w14:paraId="00000037">
            <w:pPr>
              <w:numPr>
                <w:ilvl w:val="0"/>
                <w:numId w:val="1"/>
              </w:numPr>
              <w:spacing w:after="0" w:afterAutospacing="0" w:before="0" w:beforeAutospacing="0" w:line="254.4" w:lineRule="auto"/>
              <w:ind w:left="720" w:hanging="360"/>
              <w:rPr>
                <w:rFonts w:ascii="Georgia" w:cs="Georgia" w:eastAsia="Georgia" w:hAnsi="Georgia"/>
                <w:sz w:val="18"/>
                <w:szCs w:val="18"/>
                <w:u w:val="none"/>
              </w:rPr>
            </w:pPr>
            <w:r w:rsidDel="00000000" w:rsidR="00000000" w:rsidRPr="00000000">
              <w:rPr>
                <w:rFonts w:ascii="Georgia" w:cs="Georgia" w:eastAsia="Georgia" w:hAnsi="Georgia"/>
                <w:sz w:val="18"/>
                <w:szCs w:val="18"/>
                <w:rtl w:val="0"/>
              </w:rPr>
              <w:t xml:space="preserve">Gruber KJ, Cupito SH, and Dobson CF. (2013). Impact of doulas on healthy birth outcomes. J Perinat Educ, 22(1):49–58.</w:t>
            </w:r>
          </w:p>
          <w:p w:rsidR="00000000" w:rsidDel="00000000" w:rsidP="00000000" w:rsidRDefault="00000000" w:rsidRPr="00000000" w14:paraId="00000038">
            <w:pPr>
              <w:numPr>
                <w:ilvl w:val="0"/>
                <w:numId w:val="1"/>
              </w:numPr>
              <w:spacing w:after="0" w:afterAutospacing="0" w:before="0" w:beforeAutospacing="0" w:line="254.4" w:lineRule="auto"/>
              <w:ind w:left="720" w:hanging="360"/>
              <w:rPr>
                <w:rFonts w:ascii="Georgia" w:cs="Georgia" w:eastAsia="Georgia" w:hAnsi="Georgia"/>
                <w:sz w:val="18"/>
                <w:szCs w:val="18"/>
                <w:u w:val="none"/>
              </w:rPr>
            </w:pPr>
            <w:r w:rsidDel="00000000" w:rsidR="00000000" w:rsidRPr="00000000">
              <w:rPr>
                <w:rFonts w:ascii="Georgia" w:cs="Georgia" w:eastAsia="Georgia" w:hAnsi="Georgia"/>
                <w:sz w:val="18"/>
                <w:szCs w:val="18"/>
                <w:rtl w:val="0"/>
              </w:rPr>
              <w:t xml:space="preserve">Hans, S. L., Edwards, R. C., &amp; Zhang, Y. (2018). Randomized Controlled Trial of Doula-Home-Visiting Services: Impact on Maternal and Infant Health. Maternal and child health journal, 1-9.</w:t>
            </w:r>
          </w:p>
          <w:p w:rsidR="00000000" w:rsidDel="00000000" w:rsidP="00000000" w:rsidRDefault="00000000" w:rsidRPr="00000000" w14:paraId="00000039">
            <w:pPr>
              <w:numPr>
                <w:ilvl w:val="0"/>
                <w:numId w:val="1"/>
              </w:numPr>
              <w:spacing w:after="0" w:afterAutospacing="0" w:before="0" w:beforeAutospacing="0" w:line="276" w:lineRule="auto"/>
              <w:ind w:left="720" w:hanging="36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Bohren, M. A., Hofmeyr, G. J., Sakala, C., Fukuzawa, R. K., &amp; Cuthbert, A. (2017). Continuous support for women during childbirth. The Cochrane Library.</w:t>
            </w:r>
          </w:p>
          <w:p w:rsidR="00000000" w:rsidDel="00000000" w:rsidP="00000000" w:rsidRDefault="00000000" w:rsidRPr="00000000" w14:paraId="0000003A">
            <w:pPr>
              <w:numPr>
                <w:ilvl w:val="0"/>
                <w:numId w:val="1"/>
              </w:numPr>
              <w:spacing w:after="0" w:afterAutospacing="0" w:before="0" w:beforeAutospacing="0" w:line="276" w:lineRule="auto"/>
              <w:ind w:left="720" w:hanging="360"/>
              <w:rPr>
                <w:rFonts w:ascii="Georgia" w:cs="Georgia" w:eastAsia="Georgia" w:hAnsi="Georgia"/>
                <w:sz w:val="18"/>
                <w:szCs w:val="18"/>
              </w:rPr>
            </w:pPr>
            <w:r w:rsidDel="00000000" w:rsidR="00000000" w:rsidRPr="00000000">
              <w:rPr>
                <w:rFonts w:ascii="Georgia" w:cs="Georgia" w:eastAsia="Georgia" w:hAnsi="Georgia"/>
                <w:sz w:val="18"/>
                <w:szCs w:val="18"/>
                <w:highlight w:val="white"/>
                <w:rtl w:val="0"/>
              </w:rPr>
              <w:t xml:space="preserve">Lothian JA. Safe Prevention of the Primary Cesarean Delivery: ACOG and SMFM Change the Game. </w:t>
            </w:r>
            <w:r w:rsidDel="00000000" w:rsidR="00000000" w:rsidRPr="00000000">
              <w:rPr>
                <w:rFonts w:ascii="Georgia" w:cs="Georgia" w:eastAsia="Georgia" w:hAnsi="Georgia"/>
                <w:i w:val="1"/>
                <w:sz w:val="18"/>
                <w:szCs w:val="18"/>
                <w:highlight w:val="white"/>
                <w:rtl w:val="0"/>
              </w:rPr>
              <w:t xml:space="preserve">The Journal of Perinatal Education</w:t>
            </w:r>
            <w:r w:rsidDel="00000000" w:rsidR="00000000" w:rsidRPr="00000000">
              <w:rPr>
                <w:rFonts w:ascii="Georgia" w:cs="Georgia" w:eastAsia="Georgia" w:hAnsi="Georgia"/>
                <w:sz w:val="18"/>
                <w:szCs w:val="18"/>
                <w:highlight w:val="white"/>
                <w:rtl w:val="0"/>
              </w:rPr>
              <w:t xml:space="preserve">. 2014;23(3):115-118. doi:10.1891/1058-1243.23.3.115.</w:t>
            </w:r>
          </w:p>
          <w:p w:rsidR="00000000" w:rsidDel="00000000" w:rsidP="00000000" w:rsidRDefault="00000000" w:rsidRPr="00000000" w14:paraId="0000003B">
            <w:pPr>
              <w:numPr>
                <w:ilvl w:val="0"/>
                <w:numId w:val="1"/>
              </w:numPr>
              <w:spacing w:after="0" w:afterAutospacing="0" w:before="0" w:beforeAutospacing="0" w:line="254.4" w:lineRule="auto"/>
              <w:ind w:left="720" w:hanging="360"/>
              <w:rPr>
                <w:rFonts w:ascii="Georgia" w:cs="Georgia" w:eastAsia="Georgia" w:hAnsi="Georgia"/>
                <w:sz w:val="18"/>
                <w:szCs w:val="18"/>
                <w:highlight w:val="white"/>
              </w:rPr>
            </w:pPr>
            <w:r w:rsidDel="00000000" w:rsidR="00000000" w:rsidRPr="00000000">
              <w:rPr>
                <w:rFonts w:ascii="Georgia" w:cs="Georgia" w:eastAsia="Georgia" w:hAnsi="Georgia"/>
                <w:sz w:val="18"/>
                <w:szCs w:val="18"/>
                <w:highlight w:val="white"/>
                <w:rtl w:val="0"/>
              </w:rPr>
              <w:t xml:space="preserve">Kozhimannil KB, Attanasio LB, Jou J, et al. (2014).Potential benefits of increased access to doula support during childbirth. Am J Manag Care, 20(8):e340–e352.</w:t>
            </w:r>
          </w:p>
          <w:p w:rsidR="00000000" w:rsidDel="00000000" w:rsidP="00000000" w:rsidRDefault="00000000" w:rsidRPr="00000000" w14:paraId="0000003C">
            <w:pPr>
              <w:numPr>
                <w:ilvl w:val="0"/>
                <w:numId w:val="1"/>
              </w:numPr>
              <w:spacing w:after="0" w:afterAutospacing="0" w:before="0" w:beforeAutospacing="0" w:line="254.4" w:lineRule="auto"/>
              <w:ind w:left="720" w:hanging="360"/>
              <w:rPr>
                <w:rFonts w:ascii="Georgia" w:cs="Georgia" w:eastAsia="Georgia" w:hAnsi="Georgia"/>
                <w:sz w:val="18"/>
                <w:szCs w:val="18"/>
                <w:highlight w:val="white"/>
              </w:rPr>
            </w:pPr>
            <w:r w:rsidDel="00000000" w:rsidR="00000000" w:rsidRPr="00000000">
              <w:rPr>
                <w:rFonts w:ascii="Georgia" w:cs="Georgia" w:eastAsia="Georgia" w:hAnsi="Georgia"/>
                <w:sz w:val="18"/>
                <w:szCs w:val="18"/>
                <w:highlight w:val="white"/>
                <w:rtl w:val="0"/>
              </w:rPr>
              <w:t xml:space="preserve">Kozhimannil KB, Hardeman RR, Alarid-Escudero F, Vogelsang CA, Blauer-Peterson C, and Howell EA. (2016). Modeling the Cost-Effectiveness of Doula Care Associated with Reductions in Preterm Birth and Cesarean Delivery. Birth (Berkeley, Calif.), 43(1), 20–27.</w:t>
            </w:r>
          </w:p>
          <w:p w:rsidR="00000000" w:rsidDel="00000000" w:rsidP="00000000" w:rsidRDefault="00000000" w:rsidRPr="00000000" w14:paraId="0000003D">
            <w:pPr>
              <w:numPr>
                <w:ilvl w:val="0"/>
                <w:numId w:val="1"/>
              </w:numPr>
              <w:spacing w:after="0" w:afterAutospacing="0" w:before="0" w:beforeAutospacing="0" w:line="254.4" w:lineRule="auto"/>
              <w:ind w:left="720" w:hanging="360"/>
              <w:rPr>
                <w:rFonts w:ascii="Georgia" w:cs="Georgia" w:eastAsia="Georgia" w:hAnsi="Georgia"/>
                <w:sz w:val="18"/>
                <w:szCs w:val="18"/>
                <w:highlight w:val="white"/>
              </w:rPr>
            </w:pPr>
            <w:r w:rsidDel="00000000" w:rsidR="00000000" w:rsidRPr="00000000">
              <w:rPr>
                <w:rFonts w:ascii="Georgia" w:cs="Georgia" w:eastAsia="Georgia" w:hAnsi="Georgia"/>
                <w:sz w:val="18"/>
                <w:szCs w:val="18"/>
                <w:highlight w:val="white"/>
                <w:rtl w:val="0"/>
              </w:rPr>
              <w:t xml:space="preserve">Kozhimannil, K. B., Hardeman, R. R., Attanasio, L. B., Blauer-Peterson, C., &amp; O’brien, M. (2013). Doula care, birth outcomes, and costs among Medicaid beneficiaries. American journal of public health, 103(4), e113-e121.</w:t>
            </w:r>
          </w:p>
          <w:p w:rsidR="00000000" w:rsidDel="00000000" w:rsidP="00000000" w:rsidRDefault="00000000" w:rsidRPr="00000000" w14:paraId="0000003E">
            <w:pPr>
              <w:numPr>
                <w:ilvl w:val="0"/>
                <w:numId w:val="1"/>
              </w:numPr>
              <w:spacing w:after="240" w:before="0" w:beforeAutospacing="0" w:line="254.4" w:lineRule="auto"/>
              <w:ind w:left="720" w:hanging="360"/>
              <w:rPr>
                <w:rFonts w:ascii="Georgia" w:cs="Georgia" w:eastAsia="Georgia" w:hAnsi="Georgia"/>
                <w:sz w:val="18"/>
                <w:szCs w:val="18"/>
                <w:highlight w:val="white"/>
              </w:rPr>
            </w:pPr>
            <w:r w:rsidDel="00000000" w:rsidR="00000000" w:rsidRPr="00000000">
              <w:rPr>
                <w:rFonts w:ascii="Georgia" w:cs="Georgia" w:eastAsia="Georgia" w:hAnsi="Georgia"/>
                <w:sz w:val="18"/>
                <w:szCs w:val="18"/>
                <w:highlight w:val="white"/>
                <w:rtl w:val="0"/>
              </w:rPr>
              <w:t xml:space="preserve">Chapple, W., Gilliland, A., Li, D., Shier, E., &amp; Wright, E. (2013). An economic model of the benefits of professional doula labor support in Wisconsin births. WMJ, 112(2), 58-64.</w:t>
            </w:r>
          </w:p>
          <w:p w:rsidR="00000000" w:rsidDel="00000000" w:rsidP="00000000" w:rsidRDefault="00000000" w:rsidRPr="00000000" w14:paraId="0000003F">
            <w:pPr>
              <w:spacing w:after="240" w:before="240" w:line="254.4" w:lineRule="auto"/>
              <w:ind w:left="0" w:firstLine="0"/>
              <w:rPr>
                <w:rFonts w:ascii="Georgia" w:cs="Georgia" w:eastAsia="Georgia" w:hAnsi="Georgia"/>
                <w:sz w:val="18"/>
                <w:szCs w:val="18"/>
                <w:highlight w:val="white"/>
              </w:rPr>
            </w:pPr>
            <w:r w:rsidDel="00000000" w:rsidR="00000000" w:rsidRPr="00000000">
              <w:rPr>
                <w:rtl w:val="0"/>
              </w:rPr>
            </w:r>
          </w:p>
          <w:p w:rsidR="00000000" w:rsidDel="00000000" w:rsidP="00000000" w:rsidRDefault="00000000" w:rsidRPr="00000000" w14:paraId="00000040">
            <w:pPr>
              <w:spacing w:after="240" w:before="240" w:line="254.4" w:lineRule="auto"/>
              <w:ind w:left="720" w:firstLine="0"/>
              <w:rPr>
                <w:rFonts w:ascii="Georgia" w:cs="Georgia" w:eastAsia="Georgia" w:hAnsi="Georgia"/>
                <w:sz w:val="18"/>
                <w:szCs w:val="18"/>
                <w:highlight w:val="white"/>
              </w:rPr>
            </w:pPr>
            <w:r w:rsidDel="00000000" w:rsidR="00000000" w:rsidRPr="00000000">
              <w:rPr>
                <w:rtl w:val="0"/>
              </w:rPr>
            </w:r>
          </w:p>
          <w:p w:rsidR="00000000" w:rsidDel="00000000" w:rsidP="00000000" w:rsidRDefault="00000000" w:rsidRPr="00000000" w14:paraId="00000041">
            <w:pPr>
              <w:spacing w:after="240" w:before="240" w:line="254.4" w:lineRule="auto"/>
              <w:ind w:left="720" w:firstLine="0"/>
              <w:rPr>
                <w:rFonts w:ascii="Georgia" w:cs="Georgia" w:eastAsia="Georgia" w:hAnsi="Georgia"/>
                <w:sz w:val="18"/>
                <w:szCs w:val="18"/>
                <w:highlight w:val="white"/>
              </w:rPr>
            </w:pPr>
            <w:r w:rsidDel="00000000" w:rsidR="00000000" w:rsidRPr="00000000">
              <w:rPr>
                <w:rtl w:val="0"/>
              </w:rPr>
            </w:r>
          </w:p>
          <w:p w:rsidR="00000000" w:rsidDel="00000000" w:rsidP="00000000" w:rsidRDefault="00000000" w:rsidRPr="00000000" w14:paraId="00000042">
            <w:pPr>
              <w:spacing w:after="120" w:before="240" w:line="276" w:lineRule="auto"/>
              <w:ind w:left="720" w:firstLine="0"/>
              <w:rPr>
                <w:rFonts w:ascii="Georgia" w:cs="Georgia" w:eastAsia="Georgia" w:hAnsi="Georgia"/>
                <w:sz w:val="18"/>
                <w:szCs w:val="18"/>
                <w:highlight w:val="white"/>
              </w:rPr>
            </w:pPr>
            <w:r w:rsidDel="00000000" w:rsidR="00000000" w:rsidRPr="00000000">
              <w:rPr>
                <w:rtl w:val="0"/>
              </w:rPr>
            </w:r>
          </w:p>
          <w:p w:rsidR="00000000" w:rsidDel="00000000" w:rsidP="00000000" w:rsidRDefault="00000000" w:rsidRPr="00000000" w14:paraId="00000043">
            <w:pPr>
              <w:spacing w:after="240" w:before="240" w:line="254.4" w:lineRule="auto"/>
              <w:ind w:left="720" w:firstLine="0"/>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44">
            <w:pPr>
              <w:spacing w:after="120" w:before="240" w:line="276" w:lineRule="auto"/>
              <w:rPr>
                <w:rFonts w:ascii="Georgia" w:cs="Georgia" w:eastAsia="Georgia" w:hAnsi="Georgia"/>
                <w:color w:val="1155cc"/>
                <w:sz w:val="18"/>
                <w:szCs w:val="18"/>
                <w:u w:val="single"/>
              </w:rPr>
            </w:pP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tc>
      </w:tr>
      <w:tr>
        <w:tc>
          <w:tcPr/>
          <w:p w:rsidR="00000000" w:rsidDel="00000000" w:rsidP="00000000" w:rsidRDefault="00000000" w:rsidRPr="00000000" w14:paraId="00000048">
            <w:pPr>
              <w:rPr/>
            </w:pPr>
            <w:r w:rsidDel="00000000" w:rsidR="00000000" w:rsidRPr="00000000">
              <w:rPr>
                <w:rtl w:val="0"/>
              </w:rPr>
              <w:t xml:space="preserve">7.    Are any amendments planned for this bill?</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c>
      </w:tr>
      <w:tr>
        <w:tc>
          <w:tcPr/>
          <w:p w:rsidR="00000000" w:rsidDel="00000000" w:rsidP="00000000" w:rsidRDefault="00000000" w:rsidRPr="00000000" w14:paraId="0000004B">
            <w:pPr>
              <w:rPr/>
            </w:pPr>
            <w:r w:rsidDel="00000000" w:rsidR="00000000" w:rsidRPr="00000000">
              <w:rPr>
                <w:rtl w:val="0"/>
              </w:rPr>
              <w:t xml:space="preserve">8.    If yes, provide a brief summary of planned amendments.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tc>
      </w:tr>
      <w:tr>
        <w:tc>
          <w:tcPr/>
          <w:p w:rsidR="00000000" w:rsidDel="00000000" w:rsidP="00000000" w:rsidRDefault="00000000" w:rsidRPr="00000000" w14:paraId="0000004E">
            <w:pPr>
              <w:rPr/>
            </w:pPr>
            <w:r w:rsidDel="00000000" w:rsidR="00000000" w:rsidRPr="00000000">
              <w:rPr>
                <w:rtl w:val="0"/>
              </w:rPr>
              <w:t xml:space="preserve">9.    Please include an author's statement explaining the need for this bill.</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c>
      </w:tr>
      <w:tr>
        <w:tc>
          <w:tcPr/>
          <w:p w:rsidR="00000000" w:rsidDel="00000000" w:rsidP="00000000" w:rsidRDefault="00000000" w:rsidRPr="00000000" w14:paraId="00000051">
            <w:pPr>
              <w:rPr/>
            </w:pPr>
            <w:r w:rsidDel="00000000" w:rsidR="00000000" w:rsidRPr="00000000">
              <w:rPr>
                <w:rtl w:val="0"/>
              </w:rPr>
              <w:t xml:space="preserve">10.    Has a similar bill been introduced before in either this session or a previous session of the legislature?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c>
      </w:tr>
      <w:tr>
        <w:tc>
          <w:tcPr/>
          <w:p w:rsidR="00000000" w:rsidDel="00000000" w:rsidP="00000000" w:rsidRDefault="00000000" w:rsidRPr="00000000" w14:paraId="00000054">
            <w:pPr>
              <w:rPr/>
            </w:pPr>
            <w:r w:rsidDel="00000000" w:rsidR="00000000" w:rsidRPr="00000000">
              <w:rPr>
                <w:rtl w:val="0"/>
              </w:rPr>
              <w:t xml:space="preserve">11.    Has there been an interim committee report or subject hearing on this bill?</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c>
      </w:tr>
      <w:tr>
        <w:tc>
          <w:tcPr/>
          <w:p w:rsidR="00000000" w:rsidDel="00000000" w:rsidP="00000000" w:rsidRDefault="00000000" w:rsidRPr="00000000" w14:paraId="00000057">
            <w:pPr>
              <w:rPr/>
            </w:pPr>
            <w:r w:rsidDel="00000000" w:rsidR="00000000" w:rsidRPr="00000000">
              <w:rPr>
                <w:rtl w:val="0"/>
              </w:rPr>
              <w:t xml:space="preserve">12.    Please specify the report or provide information from the subject hearing.</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tc>
      </w:tr>
      <w:tr>
        <w:tc>
          <w:tcPr/>
          <w:p w:rsidR="00000000" w:rsidDel="00000000" w:rsidP="00000000" w:rsidRDefault="00000000" w:rsidRPr="00000000" w14:paraId="0000005A">
            <w:pPr>
              <w:rPr/>
            </w:pPr>
            <w:r w:rsidDel="00000000" w:rsidR="00000000" w:rsidRPr="00000000">
              <w:rPr>
                <w:rtl w:val="0"/>
              </w:rPr>
              <w:t xml:space="preserve">13.    Please describe any concerns that you anticipate may be raised in opposition to your bill, and state your response to those concerns.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tc>
      </w:tr>
      <w:tr>
        <w:tc>
          <w:tcPr/>
          <w:p w:rsidR="00000000" w:rsidDel="00000000" w:rsidP="00000000" w:rsidRDefault="00000000" w:rsidRPr="00000000" w14:paraId="0000005D">
            <w:pPr>
              <w:rPr/>
            </w:pPr>
            <w:r w:rsidDel="00000000" w:rsidR="00000000" w:rsidRPr="00000000">
              <w:rPr>
                <w:rtl w:val="0"/>
              </w:rPr>
              <w:t xml:space="preserve">14.    The committee generally limits testimony to 2 witnesses, 3 minutes each. Please list the name and title of the witnesses:</w:t>
            </w:r>
          </w:p>
          <w:p w:rsidR="00000000" w:rsidDel="00000000" w:rsidP="00000000" w:rsidRDefault="00000000" w:rsidRPr="00000000" w14:paraId="0000005E">
            <w:pPr>
              <w:rPr/>
            </w:pPr>
            <w:r w:rsidDel="00000000" w:rsidR="00000000" w:rsidRPr="00000000">
              <w:rPr>
                <w:rtl w:val="0"/>
              </w:rPr>
            </w:r>
          </w:p>
        </w:tc>
      </w:tr>
      <w:tr>
        <w:tc>
          <w:tcPr/>
          <w:p w:rsidR="00000000" w:rsidDel="00000000" w:rsidP="00000000" w:rsidRDefault="00000000" w:rsidRPr="00000000" w14:paraId="0000005F">
            <w:pPr>
              <w:rPr/>
            </w:pPr>
            <w:r w:rsidDel="00000000" w:rsidR="00000000" w:rsidRPr="00000000">
              <w:rPr>
                <w:rtl w:val="0"/>
              </w:rPr>
            </w:r>
          </w:p>
        </w:tc>
      </w:tr>
      <w:tr>
        <w:tc>
          <w:tcPr/>
          <w:p w:rsidR="00000000" w:rsidDel="00000000" w:rsidP="00000000" w:rsidRDefault="00000000" w:rsidRPr="00000000" w14:paraId="00000060">
            <w:pPr>
              <w:rPr/>
            </w:pPr>
            <w:r w:rsidDel="00000000" w:rsidR="00000000" w:rsidRPr="00000000">
              <w:rPr>
                <w:rtl w:val="0"/>
              </w:rPr>
              <w:t xml:space="preserve">15.    Which state agencies are affected by this bill? Have you met and/or discussed the bill with the agency?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tc>
      </w:tr>
    </w:tbl>
    <w:p w:rsidR="00000000" w:rsidDel="00000000" w:rsidP="00000000" w:rsidRDefault="00000000" w:rsidRPr="00000000" w14:paraId="00000063">
      <w:pPr>
        <w:jc w:val="center"/>
        <w:rPr>
          <w:b w:val="1"/>
          <w:color w:val="222222"/>
          <w:sz w:val="24"/>
          <w:szCs w:val="24"/>
          <w:highlight w:val="white"/>
          <w:u w:val="single"/>
        </w:rPr>
      </w:pPr>
      <w:r w:rsidDel="00000000" w:rsidR="00000000" w:rsidRPr="00000000">
        <w:rPr>
          <w:b w:val="1"/>
          <w:color w:val="222222"/>
          <w:sz w:val="24"/>
          <w:szCs w:val="24"/>
          <w:highlight w:val="white"/>
          <w:u w:val="single"/>
          <w:rtl w:val="0"/>
        </w:rPr>
        <w:t xml:space="preserve">COMMITTEE POLICY ON AUTHOR'S AMENDMENTS</w:t>
      </w:r>
    </w:p>
    <w:p w:rsidR="00000000" w:rsidDel="00000000" w:rsidP="00000000" w:rsidRDefault="00000000" w:rsidRPr="00000000" w14:paraId="00000064">
      <w:pPr>
        <w:rPr>
          <w:b w:val="1"/>
          <w:color w:val="222222"/>
          <w:sz w:val="24"/>
          <w:szCs w:val="24"/>
          <w:highlight w:val="white"/>
          <w:u w:val="single"/>
        </w:rPr>
      </w:pPr>
      <w:r w:rsidDel="00000000" w:rsidR="00000000" w:rsidRPr="00000000">
        <w:rPr>
          <w:b w:val="1"/>
          <w:color w:val="222222"/>
          <w:sz w:val="24"/>
          <w:szCs w:val="24"/>
          <w:highlight w:val="white"/>
          <w:u w:val="single"/>
          <w:rtl w:val="0"/>
        </w:rPr>
        <w:t xml:space="preserve">Author's amendments must be submitted to the Committee Secretary (in Legislative Counsel Form) no later than 5:00 p.m. seven calendar days preceding the hearing of your bill.  We require the signed original, six copies, and a copy of the "in context" version.  If amendments are submitted after the deadline the Chair may reschedule the bill hearing and the "set" will count against the author's limit of three sets.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953D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3953D1"/>
  </w:style>
  <w:style w:type="character" w:styleId="aqj" w:customStyle="1">
    <w:name w:val="aqj"/>
    <w:basedOn w:val="DefaultParagraphFont"/>
    <w:rsid w:val="003953D1"/>
  </w:style>
  <w:style w:type="character" w:styleId="Hyperlink">
    <w:name w:val="Hyperlink"/>
    <w:basedOn w:val="DefaultParagraphFont"/>
    <w:uiPriority w:val="99"/>
    <w:unhideWhenUsed w:val="1"/>
    <w:rsid w:val="003953D1"/>
    <w:rPr>
      <w:color w:val="0000ff"/>
      <w:u w:val="single"/>
    </w:rPr>
  </w:style>
  <w:style w:type="paragraph" w:styleId="ListParagraph">
    <w:name w:val="List Paragraph"/>
    <w:basedOn w:val="Normal"/>
    <w:uiPriority w:val="34"/>
    <w:qFormat w:val="1"/>
    <w:rsid w:val="003953D1"/>
    <w:pPr>
      <w:ind w:left="720"/>
      <w:contextualSpacing w:val="1"/>
    </w:pPr>
  </w:style>
  <w:style w:type="table" w:styleId="TableGrid">
    <w:name w:val="Table Grid"/>
    <w:basedOn w:val="TableNormal"/>
    <w:uiPriority w:val="59"/>
    <w:rsid w:val="000D4E6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BA1763"/>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paragraph" w:styleId="BalloonText">
    <w:name w:val="Balloon Text"/>
    <w:basedOn w:val="Normal"/>
    <w:link w:val="BalloonTextChar"/>
    <w:uiPriority w:val="99"/>
    <w:semiHidden w:val="1"/>
    <w:unhideWhenUsed w:val="1"/>
    <w:rsid w:val="0048151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151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oregon.gov/oha/legactivity/2012/hb3311report-doulas.pdf" TargetMode="External"/><Relationship Id="rId10" Type="http://schemas.openxmlformats.org/officeDocument/2006/relationships/hyperlink" Target="mailto:Marshall.Kirkland@asm.ca.gov" TargetMode="External"/><Relationship Id="rId12" Type="http://schemas.openxmlformats.org/officeDocument/2006/relationships/hyperlink" Target="http://www.oregon.gov/oha/legactivity/2012/hb3311report-doulas.pdf" TargetMode="External"/><Relationship Id="rId9" Type="http://schemas.openxmlformats.org/officeDocument/2006/relationships/hyperlink" Target="https://calegislation.lc.ca.gov/Advocat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I1Q5aRQeq+j7EuqPXolmZR3WgA==">AMUW2mWO6yxu7w87Zl2BFnZrv5y6reJHKLtHSz7DvSW9uFc65nRqcubSQL8XG4nz7eKwhK+zq/T3dl2WryMcRo0IUJXCWHxfWhSREnsehrbLb1n8DTeom9mHDsZfqWil39YRN3onAMU4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2020-02-20T22:38:00Z</dcterms:created>
  <dc:creator>Vadala, Sirish</dc:creator>
</cp:coreProperties>
</file>